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다음그림과같은단순보중앙에집중하중 만작용하는철근콘크리트(RC)보와 집중하중 와단면의도심에압축력 가작용하고있는프리스트레스트콘크리트 (PSC)보가있다.지점A로부터1m떨어진도심축상에있는C점의평면응력상태를 각각그리고,Mohr원을통하여주응력의크기와인장균열(Tensio...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다음그림과같은단순보중앙에집중하중 만작용하는철근콘크리트(RC)보와 집중하중 와단면의도심에압축력 가작용하고있는프리스트레스트콘크리트 (PSC)보가있다.지점A로부터1m떨어진도심축상에있는C점의평면응력상태를 각각그리고,Mohr원을통하여주응력의크기와인장균열(Tensio...에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2교시 2번  |  다음그림과같은단순보중앙에집중하중 만작용하는철근콘크리트(RC)보와 집중하중 와단면의도심에압축력 가작용하고있는프리스트레스트콘크리트 (PSC)보가있다.지점A로부터1m떨어진도심축상에있는C점의평면응력상태를 각각그리고,Mohr원을통하여주응력의크기와인장균열(Tensio...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