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109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케이블로지지되는장대교량(長大橋梁)건설이증가함에따라바람에대한교량의 내풍안정성(耐風安定性)확보가교량건설의중요한요소로부각되고있다.풍하중에 의한교량의거동특성을기술하고진동을억제하는내풍대책에는무엇이있는지 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케이블로지지되는장대교량(長大橋梁)건설이증가함에따라바람에대한교량의 내풍안정성(耐風安定性)확보가교량건설의중요한요소로부각되고있다.풍하중에 의한교량의거동특성을기술하고진동을억제하는내풍대책에는무엇이있는지 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제109회 토목구조기술사  |  4교시 4번  |  케이블로지지되는장대교량(長大橋梁)건설이증가함에따라바람에대한교량의 내풍안정성(耐風安定性)확보가교량건설의중요한요소로부각되고있다.풍하중에 의한교량의거동특성을기술하고진동을억제하는내풍대책에는무엇이있는지 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