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110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2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5</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5.  </w:t>
            </w:r>
            <w:r>
              <w:rPr>
                <w:rFonts w:ascii="Malgun Gothic" w:hAnsi="Malgun Gothic" w:eastAsia="Malgun Gothic"/>
                <w:b/>
                <w:i w:val="0"/>
                <w:color w:val="0D1B2A"/>
                <w:sz w:val="24"/>
              </w:rPr>
              <w:t>다음그림과같은지압이음의경우에한계상태설계법을적용하여최대사용하중을 구하시오. (단,F12TM22(Fub=1200MPa),F12T볼트SS400(Fy=235MPa,Fu=400MPa) 사용활하중은고정하중의3배) ①전단평면에나사선이없는경우 ②전단평면에나사선이있는경우 2-1 ...</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다음그림과같은지압이음의경우에한계상태설계법을적용하여최대사용하중을 구하시오. (단,F12TM22(Fub=1200MPa),F12T볼트SS400(Fy=235MPa,Fu=400MPa) 사용활하중은고정하중의3배) ①전단평면에나사선이없는경우 ②전단평면에나사선이있는경우 2-1 ...에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제110회 토목구조기술사  |  2교시 5번  |  다음그림과같은지압이음의경우에한계상태설계법을적용하여최대사용하중을 구하시오. (단,F12TM22(Fub=1200MPa),F12T볼트SS400(Fy=235MPa,Fu=400MPa) 사용활하중은고정하중의3배) ①전단평면에나사선이없는경우 ②전단평면에나사선이있는경우 2-1 ...</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