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다음그림과같은RC옹벽의안정성을콘크리트구조기준 (2012년)을적용하여 검토하시오. 콘크리트단위중량=25kN/m3 뒷채움토사단위중량=16kN/m3 뒷채움토사의내부마찰각=35° 마찰계수=0.5 상재활하중=10kN/m2 허용지지력=190kN/m2 지진시미고려 (단위:m)...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다음그림과같은RC옹벽의안정성을콘크리트구조기준 (2012년)을적용하여 검토하시오. 콘크리트단위중량=25kN/m3 뒷채움토사단위중량=16kN/m3 뒷채움토사의내부마찰각=35° 마찰계수=0.5 상재활하중=10kN/m2 허용지지력=190kN/m2 지진시미고려 (단위:m)...에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제110회 토목구조기술사  |  2교시 6번  |  다음그림과같은RC옹벽의안정성을콘크리트구조기준 (2012년)을적용하여 검토하시오. 콘크리트단위중량=25kN/m3 뒷채움토사단위중량=16kN/m3 뒷채움토사의내부마찰각=35° 마찰계수=0.5 상재활하중=10kN/m2 허용지지력=190kN/m2 지진시미고려 (단위:m)...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