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강교설계시붕괴유발부재(fracturecriticalmember)를정의하고여유도에대하여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강교설계시붕괴유발부재(fracturecriticalmember)를정의하고여유도에대하여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제110회 토목구조기술사  |  3교시 2번  |  강교설계시붕괴유발부재(fracturecriticalmember)를정의하고여유도에대하여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