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111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1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2</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2.  </w:t>
            </w:r>
            <w:r>
              <w:rPr>
                <w:rFonts w:ascii="Malgun Gothic" w:hAnsi="Malgun Gothic" w:eastAsia="Malgun Gothic"/>
                <w:b/>
                <w:i w:val="0"/>
                <w:color w:val="0D1B2A"/>
                <w:sz w:val="24"/>
              </w:rPr>
              <w:t>볼트이음과용접이음을같은이음개소에서병용하는경우에유의해야할점</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볼트이음과용접이음을같은이음개소에서병용하는경우에유의해야할점에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제111회 토목구조기술사  |  1교시 2번  |  볼트이음과용접이음을같은이음개소에서병용하는경우에유의해야할점</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