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111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FCM으로건설중인교량의가고정부가파손되는경우,예상되는파손원인과가고정부 검토시고려해야할하중에대하여설명하고아래의조건에서설치할강봉의수와 콘크리트블록의단면적을구하시오. (단,최대불균형모멘트M=250,000kN ・m,총작용연직력N=130,000kN이며강봉의 Pu=1,070k...</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FCM으로건설중인교량의가고정부가파손되는경우,예상되는파손원인과가고정부 검토시고려해야할하중에대하여설명하고아래의조건에서설치할강봉의수와 콘크리트블록의단면적을구하시오. (단,최대불균형모멘트M=250,000kN ・m,총작용연직력N=130,000kN이며강봉의 Pu=1,070k...에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제111회 토목구조기술사  |  2교시 1번  |  FCM으로건설중인교량의가고정부가파손되는경우,예상되는파손원인과가고정부 검토시고려해야할하중에대하여설명하고아래의조건에서설치할강봉의수와 콘크리트블록의단면적을구하시오. (단,최대불균형모멘트M=250,000kN ・m,총작용연직력N=130,000kN이며강봉의 Pu=1,070k...</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