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다음구조물에서최소일의원리를이용하여모든부재력을구하고,가상일의원리를 활용하여C점의수직변위()와수평변위()를구하시오. (단,모든부재의축방향강성(Axialrigidity)은EA이다.)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다음구조물에서최소일의원리를이용하여모든부재력을구하고,가상일의원리를 활용하여C점의수직변위()와수평변위()를구하시오. (단,모든부재의축방향강성(Axialrigidity)은EA이다.)에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2교시 5번  |  다음구조물에서최소일의원리를이용하여모든부재력을구하고,가상일의원리를 활용하여C점의수직변위()와수평변위()를구하시오. (단,모든부재의축방향강성(Axialrigidity)은EA이다.)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