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111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4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2</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2.  </w:t>
            </w:r>
            <w:r>
              <w:rPr>
                <w:rFonts w:ascii="Malgun Gothic" w:hAnsi="Malgun Gothic" w:eastAsia="Malgun Gothic"/>
                <w:b/>
                <w:i w:val="0"/>
                <w:color w:val="0D1B2A"/>
                <w:sz w:val="24"/>
              </w:rPr>
              <w:t>다음과같은교량상부슬래브캔틸레버부의가설동바리에대하여사재에발생되는 응력을구하시오. (단,가설동바리의자중은무시하고,콘크리트슬래브단위중량은25kN/m3이며수평재에 등분포하게작용한다고가정한다.수평재와수직재및사재는강재(SS400) L-60×60×5이고,부재들은한개의M20볼트...</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다음과같은교량상부슬래브캔틸레버부의가설동바리에대하여사재에발생되는 응력을구하시오. (단,가설동바리의자중은무시하고,콘크리트슬래브단위중량은25kN/m3이며수평재에 등분포하게작용한다고가정한다.수평재와수직재및사재는강재(SS400) L-60×60×5이고,부재들은한개의M20볼트...에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제111회 토목구조기술사  |  4교시 2번  |  다음과같은교량상부슬래브캔틸레버부의가설동바리에대하여사재에발생되는 응력을구하시오. (단,가설동바리의자중은무시하고,콘크리트슬래브단위중량은25kN/m3이며수평재에 등분포하게작용한다고가정한다.수평재와수직재및사재는강재(SS400) L-60×60×5이고,부재들은한개의M20볼트...</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