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도로교설계기준(한계상태설계법)에관하여다음사항을설명하시오. 1)한계상태(LimitState) 2)신뢰도지수(ReliabilityIndex,β) 3)강재의평균항복강도와변동계수가각각400MPa,3%이고,평균부재응력과응력의 변동계수가각각360MPa,2.5%일때신뢰도지수(...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도로교설계기준(한계상태설계법)에관하여다음사항을설명하시오. 1)한계상태(LimitState) 2)신뢰도지수(ReliabilityIndex,β) 3)강재의평균항복강도와변동계수가각각400MPa,3%이고,평균부재응력과응력의 변동계수가각각360MPa,2.5%일때신뢰도지수(...에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제112회 토목구조기술사  |  2교시 2번  |  도로교설계기준(한계상태설계법)에관하여다음사항을설명하시오. 1)한계상태(LimitState) 2)신뢰도지수(ReliabilityIndex,β) 3)강재의평균항복강도와변동계수가각각400MPa,3%이고,평균부재응력과응력의 변동계수가각각360MPa,2.5%일때신뢰도지수(...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