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112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5</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5.  </w:t>
            </w:r>
            <w:r>
              <w:rPr>
                <w:rFonts w:ascii="Malgun Gothic" w:hAnsi="Malgun Gothic" w:eastAsia="Malgun Gothic"/>
                <w:b/>
                <w:i w:val="0"/>
                <w:color w:val="0D1B2A"/>
                <w:sz w:val="24"/>
              </w:rPr>
              <w:t>소하천을횡단하는교량의계획및형식선정시고려할사항에대하여설명하시오.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소하천을횡단하는교량의계획및형식선정시고려할사항에대하여설명하시오.에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제112회 토목구조기술사  |  3교시 5번  |  소하천을횡단하는교량의계획및형식선정시고려할사항에대하여설명하시오.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