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113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7</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7.  </w:t>
            </w:r>
            <w:r>
              <w:rPr>
                <w:rFonts w:ascii="Malgun Gothic" w:hAnsi="Malgun Gothic" w:eastAsia="Malgun Gothic"/>
                <w:b/>
                <w:i w:val="0"/>
                <w:color w:val="0D1B2A"/>
                <w:sz w:val="24"/>
              </w:rPr>
              <w:t>교량의동적해석모델링시고려하여야할구조물과동적가진력의특성</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교량의동적해석모델링시고려하여야할구조물과동적가진력의특성에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제113회 토목구조기술사  |  1교시 7번  |  교량의동적해석모델링시고려하여야할구조물과동적가진력의특성</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