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직사각형단면의단순보(폭b=300mm,유효깊이d=540mm,인장부단철근량 As=D25-3ea=1,520 mm2)가사용고정하중모멘트 50kN․m,충격을포함한사용 활하중모멘트90kN․m을받고있다.콘크리트구조기준 (2012)에따라피로에대하여 검토하시오. (단,콘크리트설계...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직사각형단면의단순보(폭b=300mm,유효깊이d=540mm,인장부단철근량 As=D25-3ea=1,520 mm2)가사용고정하중모멘트 50kN․m,충격을포함한사용 활하중모멘트90kN․m을받고있다.콘크리트구조기준 (2012)에따라피로에대하여 검토하시오. (단,콘크리트설계...에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2교시 4번  |  직사각형단면의단순보(폭b=300mm,유효깊이d=540mm,인장부단철근량 As=D25-3ea=1,520 mm2)가사용고정하중모멘트 50kN․m,충격을포함한사용 활하중모멘트90kN․m을받고있다.콘크리트구조기준 (2012)에따라피로에대하여 검토하시오. (단,콘크리트설계...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