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가장자리의영향을받지않는단일갈고리앵커볼트가 그림과같이설치(콘크리트 타설전설치)되어있다.상향인장력30kN작용시콘크리트파괴를구속하기위한 별도의보조철근은배근하지않아기초판에균열이발생하였다.이때갈고리앵커 볼트의안전성을콘크리트구조기준 (2012)에따라검토하시오. (가정조건)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가장자리의영향을받지않는단일갈고리앵커볼트가 그림과같이설치(콘크리트 타설전설치)되어있다.상향인장력30kN작용시콘크리트파괴를구속하기위한 별도의보조철근은배근하지않아기초판에균열이발생하였다.이때갈고리앵커 볼트의안전성을콘크리트구조기준 (2012)에따라검토하시오. (가정조건)에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제113회 토목구조기술사  |  2교시 6번  |  가장자리의영향을받지않는단일갈고리앵커볼트가 그림과같이설치(콘크리트 타설전설치)되어있다.상향인장력30kN작용시콘크리트파괴를구속하기위한 별도의보조철근은배근하지않아기초판에균열이발생하였다.이때갈고리앵커 볼트의안전성을콘크리트구조기준 (2012)에따라검토하시오. (가정조건)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