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113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2</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2.  </w:t>
            </w:r>
            <w:r>
              <w:rPr>
                <w:rFonts w:ascii="Malgun Gothic" w:hAnsi="Malgun Gothic" w:eastAsia="Malgun Gothic"/>
                <w:b/>
                <w:i w:val="0"/>
                <w:color w:val="0D1B2A"/>
                <w:sz w:val="24"/>
              </w:rPr>
              <w:t>염해를받는콘크리트구조물에대한확률론적내구성설계방법의개념을설명 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염해를받는콘크리트구조물에대한확률론적내구성설계방법의개념을설명 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제113회 토목구조기술사  |  3교시 2번  |  염해를받는콘크리트구조물에대한확률론적내구성설계방법의개념을설명 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