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건조수축상태의단면적이일정하고길이가L인철근콘크리트부재가비구속상태와 완전구속상태일때,각각의콘크리트응력값을구하고거동을비교하여설명하시오. (단,콘크리트면적에대한철근단면적의비는0.02,콘크리트의자유건조 수축변형률()는×,철근의탄성계수 ...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건조수축상태의단면적이일정하고길이가L인철근콘크리트부재가비구속상태와 완전구속상태일때,각각의콘크리트응력값을구하고거동을비교하여설명하시오. (단,콘크리트면적에대한철근단면적의비는0.02,콘크리트의자유건조 수축변형률()는×,철근의탄성계수 ...에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제113회 토목구조기술사  |  3교시 4번  |  건조수축상태의단면적이일정하고길이가L인철근콘크리트부재가비구속상태와 완전구속상태일때,각각의콘크리트응력값을구하고거동을비교하여설명하시오. (단,콘크리트면적에대한철근단면적의비는0.02,콘크리트의자유건조 수축변형률()는×,철근의탄성계수 ...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