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114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2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4</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4.  </w:t>
            </w:r>
            <w:r>
              <w:rPr>
                <w:rFonts w:ascii="Malgun Gothic" w:hAnsi="Malgun Gothic" w:eastAsia="Malgun Gothic"/>
                <w:b/>
                <w:i w:val="0"/>
                <w:color w:val="0D1B2A"/>
                <w:sz w:val="24"/>
              </w:rPr>
              <w:t>구조물의고유치해석에의한질량참여율해석방법에대하여설명하시오. 2–1 국가기술자격기술사시험문제 기술사제114회 제2교시(시험시간:100분) 분 야건설종목토목구조기술사수험 번호성 명</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구조물의고유치해석에의한질량참여율해석방법에대하여설명하시오. 2–1 국가기술자격기술사시험문제 기술사제114회 제2교시(시험시간:100분) 분 야건설종목토목구조기술사수험 번호성 명에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제114회 토목구조기술사  |  2교시 4번  |  구조물의고유치해석에의한질량참여율해석방법에대하여설명하시오. 2–1 국가기술자격기술사시험문제 기술사제114회 제2교시(시험시간:100분) 분 야건설종목토목구조기술사수험 번호성 명</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