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주행차량이적재높이위반으로가설된강박스거더(SteelBoxGirder)에충돌하여, 복부강판에아래그림과같은찢어짐과변형이발생하였다.구조물의주요안전점검 부위별점검범위및보수보강방안을설명하시오.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주행차량이적재높이위반으로가설된강박스거더(SteelBoxGirder)에충돌하여, 복부강판에아래그림과같은찢어짐과변형이발생하였다.구조물의주요안전점검 부위별점검범위및보수보강방안을설명하시오.에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3교시 4번  |  주행차량이적재높이위반으로가설된강박스거더(SteelBoxGirder)에충돌하여, 복부강판에아래그림과같은찢어짐과변형이발생하였다.구조물의주요안전점검 부위별점검범위및보수보강방안을설명하시오.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