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115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1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11</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11.  </w:t>
            </w:r>
            <w:r>
              <w:rPr>
                <w:rFonts w:ascii="Malgun Gothic" w:hAnsi="Malgun Gothic" w:eastAsia="Malgun Gothic"/>
                <w:b/>
                <w:i w:val="0"/>
                <w:color w:val="0D1B2A"/>
                <w:sz w:val="24"/>
              </w:rPr>
              <w:t>프리스트레스트콘크리트구조물에서재료가갖추어야할최소조건에대하여설명하시오.</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프리스트레스트콘크리트구조물에서재료가갖추어야할최소조건에대하여설명하시오.에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제115회 토목구조기술사  |  1교시 11번  |  프리스트레스트콘크리트구조물에서재료가갖추어야할최소조건에대하여설명하시오.</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