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그림과같이폭b=300mm,유효깊이d=450mm를가진보에3-D29(=28.6mm)인장 철근으로보강되어있을때단철근직사각형단면보의설계휨강도를도로교설계기준 (한계상태설계법,2016)에의해구하시오. (단,=30MPa, =400MPa, ∅=0.65,∅=0.9...</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그림과같이폭b=300mm,유효깊이d=450mm를가진보에3-D29(=28.6mm)인장 철근으로보강되어있을때단철근직사각형단면보의설계휨강도를도로교설계기준 (한계상태설계법,2016)에의해구하시오. (단,=30MPa, =400MPa, ∅=0.65,∅=0.9...에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제115회 토목구조기술사  |  4교시 1번  |  그림과같이폭b=300mm,유효깊이d=450mm를가진보에3-D29(=28.6mm)인장 철근으로보강되어있을때단철근직사각형단면보의설계휨강도를도로교설계기준 (한계상태설계법,2016)에의해구하시오. (단,=30MPa, =400MPa, ∅=0.65,∅=0.9...</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