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상부고정하중과 풍하중에의해받침①,②에발생하는연직반력을도로교설계기준 (한계상태설계법,2016)에의해구하시오. (단,강재거더중량15kN/m,콘크리트단위중량24.5kN/m3,방음벽중량1.5kN/m 및아스콘포장단위중량23kN/m3이다.)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상부고정하중과 풍하중에의해받침①,②에발생하는연직반력을도로교설계기준 (한계상태설계법,2016)에의해구하시오. (단,강재거더중량15kN/m,콘크리트단위중량24.5kN/m3,방음벽중량1.5kN/m 및아스콘포장단위중량23kN/m3이다.)에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4교시 1번  |  상부고정하중과 풍하중에의해받침①,②에발생하는연직반력을도로교설계기준 (한계상태설계법,2016)에의해구하시오. (단,강재거더중량15kN/m,콘크리트단위중량24.5kN/m3,방음벽중량1.5kN/m 및아스콘포장단위중량23kN/m3이다.)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