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받침①,②의연직반력비대칭성을줄이기위해받침을강박스복부재하단으로 이동하여받침①,②의간격을당초1.6m에서2.4m로넓혔을때연직반력변화 및강박스보강방안에대하여설명하시오. 4-4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받침①,②의연직반력비대칭성을줄이기위해받침을강박스복부재하단으로 이동하여받침①,②의간격을당초1.6m에서2.4m로넓혔을때연직반력변화 및강박스보강방안에대하여설명하시오. 4-4에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4교시 2번  |  받침①,②의연직반력비대칭성을줄이기위해받침을강박스복부재하단으로 이동하여받침①,②의간격을당초1.6m에서2.4m로넓혔을때연직반력변화 및강박스보강방안에대하여설명하시오. 4-4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