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그림과같이단경간40m인강합성박스거더교의콘크리트방호벽상단에방음벽을 추가로설치할경우다음물음에답하시오. (단,그림에표기된치수는mm단위이며,극한한계상태하중계수는아래표와같다.) 2방음벽 1아스콘포장 T=80mmW=3.8kPa풍하중4,450 1,200 1,000300 1,1...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그림과같이단경간40m인강합성박스거더교의콘크리트방호벽상단에방음벽을 추가로설치할경우다음물음에답하시오. (단,그림에표기된치수는mm단위이며,극한한계상태하중계수는아래표와같다.) 2방음벽 1아스콘포장 T=80mmW=3.8kPa풍하중4,450 1,200 1,000300 1,1...에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4교시 6번  |  그림과같이단경간40m인강합성박스거더교의콘크리트방호벽상단에방음벽을 추가로설치할경우다음물음에답하시오. (단,그림에표기된치수는mm단위이며,극한한계상태하중계수는아래표와같다.) 2방음벽 1아스콘포장 T=80mmW=3.8kPa풍하중4,450 1,200 1,000300 1,1...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