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지간10m단순보에고정하중으로등분포하중(w=1kN/m)이작용하고활하중으로 집중하중(P=10kN)이작용하고있다.보의중앙부(B)에서고정하중모멘트(D), 활하중모멘트(L)가발생할때목표신뢰성지수 3.0(βT=3.0)을만족하는최소저항 모멘트(R)를구하시오. (단,파괴모드는보...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지간10m단순보에고정하중으로등분포하중(w=1kN/m)이작용하고활하중으로 집중하중(P=10kN)이작용하고있다.보의중앙부(B)에서고정하중모멘트(D), 활하중모멘트(L)가발생할때목표신뢰성지수 3.0(βT=3.0)을만족하는최소저항 모멘트(R)를구하시오. (단,파괴모드는보...에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1교시 13번  |  지간10m단순보에고정하중으로등분포하중(w=1kN/m)이작용하고활하중으로 집중하중(P=10kN)이작용하고있다.보의중앙부(B)에서고정하중모멘트(D), 활하중모멘트(L)가발생할때목표신뢰성지수 3.0(βT=3.0)을만족하는최소저항 모멘트(R)를구하시오. (단,파괴모드는보...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