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총무게가2kN인케이블AC에무게가수평방향으로일정하게분포된다고할때, 케이블의Sagh와A점및C점의처짐각을구하시오. (단,BC부재는강체거동을하는것으로가정한다.) 4-2 국가기술자격기술사시험문제 기술사제116회 제3교시(시험시간:100분) 분 야건설자격 종목토목구조기술사수...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총무게가2kN인케이블AC에무게가수평방향으로일정하게분포된다고할때, 케이블의Sagh와A점및C점의처짐각을구하시오. (단,BC부재는강체거동을하는것으로가정한다.) 4-2 국가기술자격기술사시험문제 기술사제116회 제3교시(시험시간:100분) 분 야건설자격 종목토목구조기술사수...에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3교시 4번  |  총무게가2kN인케이블AC에무게가수평방향으로일정하게분포된다고할때, 케이블의Sagh와A점및C점의처짐각을구하시오. (단,BC부재는강체거동을하는것으로가정한다.) 4-2 국가기술자격기술사시험문제 기술사제116회 제3교시(시험시간:100분) 분 야건설자격 종목토목구조기술사수...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