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116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4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2</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2.  </w:t>
            </w:r>
            <w:r>
              <w:rPr>
                <w:rFonts w:ascii="Malgun Gothic" w:hAnsi="Malgun Gothic" w:eastAsia="Malgun Gothic"/>
                <w:b/>
                <w:i w:val="0"/>
                <w:color w:val="0D1B2A"/>
                <w:sz w:val="24"/>
              </w:rPr>
              <w:t>A,B지점에서부모멘트와전단력에대해성능이부족할때이에대한보강방안 4-1 국가기술자격기술사시험문제 기술사제116회 제4교시(시험시간:100분) 분 야건설자격 종목토목구조기술사수험 번호성 명</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A,B지점에서부모멘트와전단력에대해성능이부족할때이에대한보강방안 4-1 국가기술자격기술사시험문제 기술사제116회 제4교시(시험시간:100분) 분 야건설자격 종목토목구조기술사수험 번호성 명에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제116회 토목구조기술사  |  4교시 2번  |  A,B지점에서부모멘트와전단력에대해성능이부족할때이에대한보강방안 4-1 국가기술자격기술사시험문제 기술사제116회 제4교시(시험시간:100분) 분 야건설자격 종목토목구조기술사수험 번호성 명</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