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그림의철근콘크리트기둥단면에서작용하중이편심(e=250mm)을가지고있을때 주어진단면의균형단면력을산정하고공칭압축강도 을강도설계법에따라구하 시오. (단,,이다.) 4–3 국가기술자격기술사시험문제 기술사제116회 제4교시(시험시간:100...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그림의철근콘크리트기둥단면에서작용하중이편심(e=250mm)을가지고있을때 주어진단면의균형단면력을산정하고공칭압축강도 을강도설계법에따라구하 시오. (단,,이다.) 4–3 국가기술자격기술사시험문제 기술사제116회 제4교시(시험시간:100...에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4교시 5번  |  그림의철근콘크리트기둥단면에서작용하중이편심(e=250mm)을가지고있을때 주어진단면의균형단면력을산정하고공칭압축강도 을강도설계법에따라구하 시오. (단,,이다.) 4–3 국가기술자격기술사시험문제 기술사제116회 제4교시(시험시간:100...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