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도로교설계기준(한계상태설계법)에서규정하고있는설계압축강도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도로교설계기준(한계상태설계법)에서규정하고있는설계압축강도에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10번  |  도로교설계기준(한계상태설계법)에서규정하고있는설계압축강도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