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그림과같은단면의철근콘크리트띠철근기둥(단주)에축하중가편심거리 인위치에작용할경우,이기둥의설계축강도 및설계휨강도 를 도로교설계기준 한계상태설계법(2012)에의해구하시오.(단,, ,의철근1개의단면적...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그림과같은단면의철근콘크리트띠철근기둥(단주)에축하중가편심거리 인위치에작용할경우,이기둥의설계축강도 및설계휨강도 를 도로교설계기준 한계상태설계법(2012)에의해구하시오.(단,, ,의철근1개의단면적...에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제117회 토목구조기술사  |  2교시 4번  |  그림과같은단면의철근콘크리트띠철근기둥(단주)에축하중가편심거리 인위치에작용할경우,이기둥의설계축강도 및설계휨강도 를 도로교설계기준 한계상태설계법(2012)에의해구하시오.(단,, ,의철근1개의단면적...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