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117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4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6</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6.  </w:t>
            </w:r>
            <w:r>
              <w:rPr>
                <w:rFonts w:ascii="Malgun Gothic" w:hAnsi="Malgun Gothic" w:eastAsia="Malgun Gothic"/>
                <w:b/>
                <w:i w:val="0"/>
                <w:color w:val="0D1B2A"/>
                <w:sz w:val="24"/>
              </w:rPr>
              <w:t>그림과같이헌치가있는RC라멘교를시공하기위하여동바리설계를할때,콘크리트 타설시거푸집및동바리에는콘크리트압력이작용하는데다음물음에답하시오. (단,Wc=24kN/m³) (1)헌치거푸집(A-B)에작용하는수평력을구하시오. (2)동바리설계및시공시유의할사항을설명하시오. 4–4</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그림과같이헌치가있는RC라멘교를시공하기위하여동바리설계를할때,콘크리트 타설시거푸집및동바리에는콘크리트압력이작용하는데다음물음에답하시오. (단,Wc=24kN/m³) (1)헌치거푸집(A-B)에작용하는수평력을구하시오. (2)동바리설계및시공시유의할사항을설명하시오. 4–4에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제117회 토목구조기술사  |  4교시 6번  |  그림과같이헌치가있는RC라멘교를시공하기위하여동바리설계를할때,콘크리트 타설시거푸집및동바리에는콘크리트압력이작용하는데다음물음에답하시오. (단,Wc=24kN/m³) (1)헌치거푸집(A-B)에작용하는수평력을구하시오. (2)동바리설계및시공시유의할사항을설명하시오. 4–4</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