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118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1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12</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12.  </w:t>
            </w:r>
            <w:r>
              <w:rPr>
                <w:rFonts w:ascii="Malgun Gothic" w:hAnsi="Malgun Gothic" w:eastAsia="Malgun Gothic"/>
                <w:b/>
                <w:i w:val="0"/>
                <w:color w:val="0D1B2A"/>
                <w:sz w:val="24"/>
              </w:rPr>
              <w:t>교량에사용하는프리캐스트바닥판의장점및단점에대하여설명하시오. 3-2 국가기술자격기술사시험문제 기술사제118회 제1교시(시험시간:100분) 분 야건설종목토목구조기술사수험 번호성 명</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교량에사용하는프리캐스트바닥판의장점및단점에대하여설명하시오. 3-2 국가기술자격기술사시험문제 기술사제118회 제1교시(시험시간:100분) 분 야건설종목토목구조기술사수험 번호성 명에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제118회 토목구조기술사  |  1교시 12번  |  교량에사용하는프리캐스트바닥판의장점및단점에대하여설명하시오. 3-2 국가기술자격기술사시험문제 기술사제118회 제1교시(시험시간:100분) 분 야건설종목토목구조기술사수험 번호성 명</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