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그림과같이등분포하중(w=30kN/m)을받고있는3경간연속보에지점침하가A에서 10mm,B에서50mm,C에서20mm,그리고D에서40mm가발생하였다.각지점의 반력을구하시오.(단,EI는일정,E=200GPa,I=700×106mm4) 4-1 국가기술자격기술사시험문제 기술사제1...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그림과같이등분포하중(w=30kN/m)을받고있는3경간연속보에지점침하가A에서 10mm,B에서50mm,C에서20mm,그리고D에서40mm가발생하였다.각지점의 반력을구하시오.(단,EI는일정,E=200GPa,I=700×106mm4) 4-1 국가기술자격기술사시험문제 기술사제1...에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2교시 4번  |  그림과같이등분포하중(w=30kN/m)을받고있는3경간연속보에지점침하가A에서 10mm,B에서50mm,C에서20mm,그리고D에서40mm가발생하였다.각지점의 반력을구하시오.(단,EI는일정,E=200GPa,I=700×106mm4) 4-1 국가기술자격기술사시험문제 기술사제1...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