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등가직사각형응력분포와강연선의항복후직선관계식을이용한변형률적합조건을 이용하여,폭이400mm,높이가600mm인직사각형단면보의공칭휨강도 을구하시오. (단,긴장재위치의콘크리트변형률이0인상태에서추가로프리스트레싱강재에발생될 것으로예상되는최초변형률 로가정한...</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등가직사각형응력분포와강연선의항복후직선관계식을이용한변형률적합조건을 이용하여,폭이400mm,높이가600mm인직사각형단면보의공칭휨강도 을구하시오. (단,긴장재위치의콘크리트변형률이0인상태에서추가로프리스트레싱강재에발생될 것으로예상되는최초변형률 로가정한...에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제118회 토목구조기술사  |  2교시 5번  |  등가직사각형응력분포와강연선의항복후직선관계식을이용한변형률적합조건을 이용하여,폭이400mm,높이가600mm인직사각형단면보의공칭휨강도 을구하시오. (단,긴장재위치의콘크리트변형률이0인상태에서추가로프리스트레싱강재에발생될 것으로예상되는최초변형률 로가정한...</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