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그림과같은지간10m단순보에서고정하중은등분포하중(w1=1kN/m)으로작용하고 있고활하중은집중하중(P=10kN)으로작용하고있다.보의중앙부(B)에서고정하중 모멘트(D),활하중모멘트(L)가발생할때다음물음에답하시오. (단,보의중앙에서발생하는최대모멘트가저항모멘트를초과하면파괴...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그림과같은지간10m단순보에서고정하중은등분포하중(w1=1kN/m)으로작용하고 있고활하중은집중하중(P=10kN)으로작용하고있다.보의중앙부(B)에서고정하중 모멘트(D),활하중모멘트(L)가발생할때다음물음에답하시오. (단,보의중앙에서발생하는최대모멘트가저항모멘트를초과하면파괴...에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2교시 6번  |  그림과같은지간10m단순보에서고정하중은등분포하중(w1=1kN/m)으로작용하고 있고활하중은집중하중(P=10kN)으로작용하고있다.보의중앙부(B)에서고정하중 모멘트(D),활하중모멘트(L)가발생할때다음물음에답하시오. (단,보의중앙에서발생하는최대모멘트가저항모멘트를초과하면파괴...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