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118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구조물을그림과같이무게가없는탄성기둥과무게가있는강체거더로모델링하였다. 이구조물의동특성을산정하기위하여강체거더에유압잭을이용하여수평방향으로 변위를가한후놓아서자유진동이발생하도록하였다.이때유압잭으로발생시킨변위(u1)는 20mm이고3cycle후최대변위(u4)는16mm이였다.다음...</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구조물을그림과같이무게가없는탄성기둥과무게가있는강체거더로모델링하였다. 이구조물의동특성을산정하기위하여강체거더에유압잭을이용하여수평방향으로 변위를가한후놓아서자유진동이발생하도록하였다.이때유압잭으로발생시킨변위(u1)는 20mm이고3cycle후최대변위(u4)는16mm이였다.다음...에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제118회 토목구조기술사  |  3교시 4번  |  구조물을그림과같이무게가없는탄성기둥과무게가있는강체거더로모델링하였다. 이구조물의동특성을산정하기위하여강체거더에유압잭을이용하여수평방향으로 변위를가한후놓아서자유진동이발생하도록하였다.이때유압잭으로발생시킨변위(u1)는 20mm이고3cycle후최대변위(u4)는16mm이였다.다음...</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