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다음그림과같이경간장30m의포스트텐션보에서곡선으로배치된긴장재를왼쪽 지점(A)의단부에서인장력을도입할때다음을구하시오. (단,텐던의배치는원호형상으로가정한다.) (1)쐐기정착전긴장재의신장량 (2)쐐기정착후중앙부(B점)의즉시손실량 (3)쐐기정착후긴장력분포도(A점,B점,C점)...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다음그림과같이경간장30m의포스트텐션보에서곡선으로배치된긴장재를왼쪽 지점(A)의단부에서인장력을도입할때다음을구하시오. (단,텐던의배치는원호형상으로가정한다.) (1)쐐기정착전긴장재의신장량 (2)쐐기정착후중앙부(B점)의즉시손실량 (3)쐐기정착후긴장력분포도(A점,B점,C점)...에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3교시 5번  |  다음그림과같이경간장30m의포스트텐션보에서곡선으로배치된긴장재를왼쪽 지점(A)의단부에서인장력을도입할때다음을구하시오. (단,텐던의배치는원호형상으로가정한다.) (1)쐐기정착전긴장재의신장량 (2)쐐기정착후중앙부(B점)의즉시손실량 (3)쐐기정착후긴장력분포도(A점,B점,C점)...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