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12" w:space="0" w:color="1B2A4A"/>
          <w:left w:val="single" w:sz="12" w:space="0" w:color="1B2A4A"/>
          <w:bottom w:val="single" w:sz="12" w:space="0" w:color="1B2A4A"/>
          <w:right w:val="single" w:sz="12" w:space="0" w:color="1B2A4A"/>
          <w:insideH w:val="single" w:sz="4" w:space="0" w:color="D0D5E0"/>
          <w:insideV w:val="none" w:sz="4" w:space="0" w:color="D0D5E0"/>
        </w:tblBorders>
      </w:tblPr>
      <w:tblGrid>
        <w:gridCol w:w="3969"/>
        <w:gridCol w:w="2835"/>
        <w:gridCol w:w="2835"/>
      </w:tblGrid>
      <w:tr>
        <w:trPr>
          <w:trHeight w:val="623" w:hRule="exact"/>
        </w:trPr>
        <w:tc>
          <w:tcPr>
            <w:tcW w:w="9639" w:type="dxa"/>
            <w:gridSpan w:val="3"/>
            <w:shd w:fill="1B2A4A" w:val="clear"/>
            <w:tcMar>
              <w:top w:w="50" w:type="dxa"/>
              <w:bottom w:w="5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[ 제 120 회 ]   </w:t>
            </w:r>
            <w:r>
              <w:rPr>
                <w:rFonts w:ascii="Malgun Gothic" w:hAnsi="Malgun Gothic" w:eastAsia="Malgun Gothic"/>
                <w:b/>
                <w:i w:val="0"/>
                <w:color w:val="FFFFFF"/>
                <w:sz w:val="28"/>
              </w:rPr>
              <w:t>토  목  구  조  기  술  사</w:t>
            </w:r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   ( 제 1 교 시 )</w:t>
            </w:r>
          </w:p>
        </w:tc>
      </w:tr>
      <w:tr>
        <w:trPr>
          <w:trHeight w:val="453" w:hRule="exact"/>
        </w:trPr>
        <w:tc>
          <w:tcPr>
            <w:tcW w:w="3969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성 명 :  </w:t>
            </w:r>
            <w:r>
              <w:rPr>
                <w:rFonts w:ascii="Arial" w:hAnsi="Arial" w:eastAsia="Arial"/>
                <w:b/>
                <w:i w:val="0"/>
                <w:color w:val="C0392B"/>
                <w:sz w:val="22"/>
              </w:rPr>
              <w:t>B  O  S  S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문제번호 :  </w:t>
            </w:r>
            <w:r>
              <w:rPr>
                <w:rFonts w:ascii="Arial" w:hAnsi="Arial" w:eastAsia="Arial"/>
                <w:b/>
                <w:i w:val="0"/>
                <w:color w:val="C0392B"/>
                <w:sz w:val="24"/>
              </w:rPr>
              <w:t>3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666666"/>
                <w:sz w:val="18"/>
              </w:rPr>
              <w:t xml:space="preserve">Page  </w:t>
            </w:r>
            <w:r>
              <w:rPr>
                <w:rFonts w:ascii="Arial" w:hAnsi="Arial" w:eastAsia="Arial"/>
                <w:b/>
                <w:i w:val="0"/>
                <w:color w:val="1B2A4A"/>
                <w:sz w:val="18"/>
              </w:rPr>
              <w:t>1 / 1</w:t>
            </w:r>
          </w:p>
        </w:tc>
      </w:tr>
      <w:tr>
        <w:trPr>
          <w:trHeight w:val="510" w:hRule="exact"/>
        </w:trPr>
        <w:tc>
          <w:tcPr>
            <w:tcW w:w="9639" w:type="dxa"/>
            <w:gridSpan w:val="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 xml:space="preserve">문 3.  </w:t>
            </w:r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>철근콘크리트슬래브의균열율(CrackRatio)</w:t>
            </w:r>
          </w:p>
        </w:tc>
      </w:tr>
    </w:tbl>
    <w:p>
      <w:pPr>
        <w:spacing w:before="100" w:after="0" w:line="276" w:lineRule="auto"/>
      </w:pP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1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개요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(Overview)</w:t>
            </w:r>
          </w:p>
        </w:tc>
      </w:tr>
    </w:tbl>
    <w:p>
      <w:pPr>
        <w:spacing w:before="20" w:after="20" w:line="312" w:lineRule="auto"/>
        <w:ind w:left="227"/>
      </w:pPr>
      <w:r>
        <w:rPr>
          <w:rFonts w:ascii="Arial" w:hAnsi="Arial" w:eastAsia="Arial"/>
          <w:b w:val="0"/>
          <w:i w:val="0"/>
          <w:color w:val="4A6FA5"/>
          <w:sz w:val="18"/>
        </w:rPr>
        <w:t xml:space="preserve"> ① </w:t>
      </w:r>
      <w:r>
        <w:rPr>
          <w:rFonts w:ascii="Malgun Gothic" w:hAnsi="Malgun Gothic" w:eastAsia="Malgun Gothic"/>
          <w:b/>
          <w:i w:val="0"/>
          <w:color w:val="0D1B2A"/>
          <w:sz w:val="20"/>
        </w:rPr>
        <w:t xml:space="preserve">정의: </w:t>
      </w:r>
      <w:r>
        <w:rPr>
          <w:rFonts w:ascii="Malgun Gothic" w:hAnsi="Malgun Gothic" w:eastAsia="Malgun Gothic"/>
          <w:b w:val="0"/>
          <w:i w:val="0"/>
          <w:color w:val="333333"/>
          <w:sz w:val="20"/>
        </w:rPr>
      </w:r>
    </w:p>
    <w:p>
      <w:pPr>
        <w:spacing w:before="0" w:after="40" w:line="312" w:lineRule="auto"/>
        <w:ind w:left="567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철근콘크리트슬래브의균열율(CrackRatio)에 대한 기본적인 정의 및 배경 설명입니다.</w:t>
      </w: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2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주요 특징 및 분석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(Key Characteristics)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8" w:space="0" w:color="1B2A4A"/>
          <w:left w:val="single" w:sz="8" w:space="0" w:color="1B2A4A"/>
          <w:bottom w:val="single" w:sz="8" w:space="0" w:color="1B2A4A"/>
          <w:right w:val="single" w:sz="8" w:space="0" w:color="1B2A4A"/>
          <w:insideH w:val="single" w:sz="4" w:space="0" w:color="D0D5E0"/>
          <w:insideV w:val="single" w:sz="4" w:space="0" w:color="D0D5E0"/>
        </w:tblBorders>
      </w:tblPr>
      <w:tblGrid>
        <w:gridCol w:w="1701"/>
        <w:gridCol w:w="2835"/>
        <w:gridCol w:w="4621"/>
      </w:tblGrid>
      <w:tr>
        <w:tc>
          <w:tcPr>
            <w:tcW w:w="170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구 분</w:t>
            </w:r>
          </w:p>
        </w:tc>
        <w:tc>
          <w:tcPr>
            <w:tcW w:w="2835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1</w:t>
            </w:r>
          </w:p>
        </w:tc>
        <w:tc>
          <w:tcPr>
            <w:tcW w:w="462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2</w:t>
            </w:r>
          </w:p>
        </w:tc>
      </w:tr>
      <w:tr>
        <w:tc>
          <w:tcPr>
            <w:tcW w:w="170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A</w:t>
            </w:r>
          </w:p>
        </w:tc>
        <w:tc>
          <w:tcPr>
            <w:tcW w:w="2835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A1</w:t>
            </w:r>
          </w:p>
        </w:tc>
        <w:tc>
          <w:tcPr>
            <w:tcW w:w="462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A2</w:t>
            </w:r>
          </w:p>
        </w:tc>
      </w:tr>
      <w:tr>
        <w:tc>
          <w:tcPr>
            <w:tcW w:w="170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B</w:t>
            </w:r>
          </w:p>
        </w:tc>
        <w:tc>
          <w:tcPr>
            <w:tcW w:w="2835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B1</w:t>
            </w:r>
          </w:p>
        </w:tc>
        <w:tc>
          <w:tcPr>
            <w:tcW w:w="462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B2</w:t>
            </w:r>
          </w:p>
        </w:tc>
      </w:tr>
    </w:tbl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3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기술사적 소견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(Professional Insight)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6" w:space="0" w:color="4A6FA5"/>
          <w:left w:val="single" w:sz="18" w:space="0" w:color="1B2A4A"/>
          <w:bottom w:val="single" w:sz="6" w:space="0" w:color="4A6FA5"/>
          <w:right w:val="single" w:sz="6" w:space="0" w:color="4A6FA5"/>
        </w:tblBorders>
      </w:tblPr>
      <w:tblGrid>
        <w:gridCol w:w="9638"/>
      </w:tblGrid>
      <w:tr>
        <w:tc>
          <w:tcPr>
            <w:tcW w:type="dxa" w:w="9638"/>
            <w:shd w:fill="F0F4FF" w:val="clea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실무 경험: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해당 주제와 관련된 실무적 착안점 및 주의사항 기재</w:t>
            </w:r>
          </w:p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최신 동향: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관련 최신 설계기준(KDS) 또는 시공 트렌드</w:t>
            </w:r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80" w:after="8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20"/>
        </w:rPr>
        <w:t>──────────────  이  하  빈  칸  ──────────────</w:t>
      </w: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638"/>
      </w:tblGrid>
      <w:tr>
        <w:tc>
          <w:tcPr>
            <w:tcW w:type="dxa" w:w="9638"/>
            <w:shd w:fill="D48B0B" w:val="clear"/>
            <w:tcMar>
              <w:top w:w="45" w:type="dxa"/>
              <w:bottom w:w="4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22"/>
              </w:rPr>
              <w:t>■  문제 분석 및 핵심 전략  ■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8" w:space="0" w:color="D48B0B"/>
          <w:left w:val="single" w:sz="8" w:space="0" w:color="D48B0B"/>
          <w:bottom w:val="single" w:sz="8" w:space="0" w:color="D48B0B"/>
          <w:right w:val="single" w:sz="8" w:space="0" w:color="D48B0B"/>
          <w:insideH w:val="single" w:sz="4" w:space="0" w:color="F5DEB3"/>
          <w:insideV w:val="single" w:sz="4" w:space="0" w:color="F5DEB3"/>
        </w:tblBorders>
      </w:tblPr>
      <w:tblGrid>
        <w:gridCol w:w="1247"/>
        <w:gridCol w:w="8391"/>
      </w:tblGrid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핵심 키워드</w:t>
            </w:r>
          </w:p>
        </w:tc>
        <w:tc>
          <w:tcPr>
            <w:tcW w:w="8391" w:type="dxa"/>
            <w:shd w:fill="FFF8E1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Keyword 1 | Keyword 2 | Keyword 3</w:t>
            </w:r>
          </w:p>
        </w:tc>
      </w:tr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합격 포인트</w:t>
            </w:r>
          </w:p>
        </w:tc>
        <w:tc>
          <w:tcPr>
            <w:tcW w:w="8391" w:type="dxa"/>
            <w:shd w:fill="FFFFFF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이 문제의 고득점을 위한 차별화 답안 작성 전략 기술</w:t>
            </w:r>
          </w:p>
        </w:tc>
      </w:tr>
    </w:tbl>
    <w:p>
      <w:pPr>
        <w:spacing w:before="20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6" w:hRule="exact"/>
        </w:trPr>
        <w:tc>
          <w:tcPr>
            <w:tcW w:type="dxa" w:w="9638"/>
            <w:shd w:fill="1B2A4A" w:val="clear"/>
          </w:tcPr>
          <w:p>
            <w:r/>
          </w:p>
        </w:tc>
      </w:tr>
    </w:tbl>
    <w:p>
      <w:pPr>
        <w:spacing w:before="80" w:after="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16"/>
        </w:rPr>
        <w:t>BOSS  |  제120회 토목구조기술사  |  1교시 3번  |  철근콘크리트슬래브의균열율(CrackRatio)</w:t>
      </w:r>
    </w:p>
    <w:p>
      <w:pPr>
        <w:spacing w:before="40" w:after="0" w:line="276" w:lineRule="auto"/>
        <w:jc w:val="center"/>
      </w:pPr>
      <w:r>
        <w:rPr>
          <w:rFonts w:ascii="Arial" w:hAnsi="Arial" w:eastAsia="Arial"/>
          <w:b w:val="0"/>
          <w:i/>
          <w:color w:val="AAAAAA"/>
          <w:sz w:val="14"/>
        </w:rPr>
        <w:t>Generated by flowithOS  ·  Professional PE Exam Sub-note System v2</w:t>
      </w:r>
    </w:p>
    <w:sectPr w:rsidR="00FC693F" w:rsidRPr="0006063C" w:rsidSect="00034616">
      <w:pgSz w:w="11906" w:h="16838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76" w:lineRule="auto"/>
    </w:pPr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