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전단력분포에따른최소전단철근배치구간을구하고,위험단면에서수직전단 철근과간격 〔조건〕 ·보통콘크리트(fck=27MPa) ·콘크리트단위중량은24kN/m3 ·사용철근SD400(fy=400MPa)·하중계수는1.2D와1.6L ·철근의개당단면적H29(As=642.4mm2),H1...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전단력분포에따른최소전단철근배치구간을구하고,위험단면에서수직전단 철근과간격 〔조건〕 ·보통콘크리트(fck=27MPa) ·콘크리트단위중량은24kN/m3 ·사용철근SD400(fy=400MPa)·하중계수는1.2D와1.6L ·철근의개당단면적H29(As=642.4mm2),H1...에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2번  |  전단력분포에따른최소전단철근배치구간을구하고,위험단면에서수직전단 철근과간격 〔조건〕 ·보통콘크리트(fck=27MPa) ·콘크리트단위중량은24kN/m3 ·사용철근SD400(fy=400MPa)·하중계수는1.2D와1.6L ·철근의개당단면적H29(As=642.4mm2),H1...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