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3경간연속사장교계획시지형조건에의해중앙경간과측경간의비대칭경간구성일때, 비대칭성을극복할수있는구조계획및방안에대하여설명하시오. (단,아래그림은경간계획만참고하시오.) 4-1 국가기술자격기술사시험문제 기술사제120회 제2교시(시험시간:100분) 분 야건설종목토목구조기술사수험...</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3경간연속사장교계획시지형조건에의해중앙경간과측경간의비대칭경간구성일때, 비대칭성을극복할수있는구조계획및방안에대하여설명하시오. (단,아래그림은경간계획만참고하시오.) 4-1 국가기술자격기술사시험문제 기술사제120회 제2교시(시험시간:100분) 분 야건설종목토목구조기술사수험...에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2교시 3번  |  3경간연속사장교계획시지형조건에의해중앙경간과측경간의비대칭경간구성일때, 비대칭성을극복할수있는구조계획및방안에대하여설명하시오. (단,아래그림은경간계획만참고하시오.) 4-1 국가기술자격기술사시험문제 기술사제120회 제2교시(시험시간:100분) 분 야건설종목토목구조기술사수험...</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