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5</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5.  </w:t>
            </w:r>
            <w:r>
              <w:rPr>
                <w:rFonts w:ascii="Malgun Gothic" w:hAnsi="Malgun Gothic" w:eastAsia="Malgun Gothic"/>
                <w:b/>
                <w:i w:val="0"/>
                <w:color w:val="0D1B2A"/>
                <w:sz w:val="24"/>
              </w:rPr>
              <w:t>아래그림과같이기둥하단부가힌지로지지된뼈대구조가횡방향변위가발생하면서 좌굴이되는경우의좌굴하중을구하시오. (단,모든부재의길이와휨강성은각각L과EI로일정하며,부재의축방향변형과전단 변형효과는무시한다.) 4-3 국가기술자격기술사시험문제 기술사제120회 제2교시(시험시간:100분...</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아래그림과같이기둥하단부가힌지로지지된뼈대구조가횡방향변위가발생하면서 좌굴이되는경우의좌굴하중을구하시오. (단,모든부재의길이와휨강성은각각L과EI로일정하며,부재의축방향변형과전단 변형효과는무시한다.) 4-3 국가기술자격기술사시험문제 기술사제120회 제2교시(시험시간:100분...에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제120회 토목구조기술사  |  2교시 5번  |  아래그림과같이기둥하단부가힌지로지지된뼈대구조가횡방향변위가발생하면서 좌굴이되는경우의좌굴하중을구하시오. (단,모든부재의길이와휨강성은각각L과EI로일정하며,부재의축방향변형과전단 변형효과는무시한다.) 4-3 국가기술자격기술사시험문제 기술사제120회 제2교시(시험시간:100분...</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