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강합성박스거더의지점부가다음과같이보강재로보강되어있을때,도로교설계기준 (한계상태설계법,2016)에의한지압보강재의축방향압축강도를구하시오. 단,보강재는복부판에용접으로접합되었으며거더의플랜지와복부판,그리고보강재는 동일강종이다. (강종:HSB500,Fy=380MPa,E=205...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강합성박스거더의지점부가다음과같이보강재로보강되어있을때,도로교설계기준 (한계상태설계법,2016)에의한지압보강재의축방향압축강도를구하시오. 단,보강재는복부판에용접으로접합되었으며거더의플랜지와복부판,그리고보강재는 동일강종이다. (강종:HSB500,Fy=380MPa,E=205...에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2교시 6번  |  강합성박스거더의지점부가다음과같이보강재로보강되어있을때,도로교설계기준 (한계상태설계법,2016)에의한지압보강재의축방향압축강도를구하시오. 단,보강재는복부판에용접으로접합되었으며거더의플랜지와복부판,그리고보강재는 동일강종이다. (강종:HSB500,Fy=380MPa,E=205...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