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긴장재를절곡배치한프리스트레스트 콘크리트부재가그림과같이단순지지 되어있다.부재의단부에는프리스트레싱에의한압축력P가작용하고있다.경간의 중앙에집중하중(F)을작용시켜서경간중앙의콘크리트최하단(A점)응력이영(0)이 되게하는집중하중(F)의크기를구하시오. 단면조건:500mm(폭)×...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긴장재를절곡배치한프리스트레스트 콘크리트부재가그림과같이단순지지 되어있다.부재의단부에는프리스트레싱에의한압축력P가작용하고있다.경간의 중앙에집중하중(F)을작용시켜서경간중앙의콘크리트최하단(A점)응력이영(0)이 되게하는집중하중(F)의크기를구하시오. 단면조건:500mm(폭)×...에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4교시 1번  |  긴장재를절곡배치한프리스트레스트 콘크리트부재가그림과같이단순지지 되어있다.부재의단부에는프리스트레싱에의한압축력P가작용하고있다.경간의 중앙에집중하중(F)을작용시켜서경간중앙의콘크리트최하단(A점)응력이영(0)이 되게하는집중하중(F)의크기를구하시오. 단면조건:500mm(폭)×...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