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그림과같이박스거더상부플랜지에스터드가설치되어있다.구조적으로유리하게 스터드를재배치하여그림을그리고이유를설명하시오.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그림과같이박스거더상부플랜지에스터드가설치되어있다.구조적으로유리하게 스터드를재배치하여그림을그리고이유를설명하시오.에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4교시 2번  |  그림과같이박스거더상부플랜지에스터드가설치되어있다.구조적으로유리하게 스터드를재배치하여그림을그리고이유를설명하시오.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