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122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11.  </w:t>
            </w:r>
            <w:r>
              <w:rPr>
                <w:rFonts w:ascii="Malgun Gothic" w:hAnsi="Malgun Gothic" w:eastAsia="Malgun Gothic"/>
                <w:b/>
                <w:i w:val="0"/>
                <w:color w:val="0D1B2A"/>
                <w:sz w:val="24"/>
              </w:rPr>
              <w:t>강구조물의설계에서강종을선정할때고려해야할사항에대하여설명하시오.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강구조물의설계에서강종을선정할때고려해야할사항에대하여설명하시오.에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제122회 토목구조기술사  |  1교시 11번  |  강구조물의설계에서강종을선정할때고려해야할사항에대하여설명하시오.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