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9</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9.  </w:t>
            </w:r>
            <w:r>
              <w:rPr>
                <w:rFonts w:ascii="Malgun Gothic" w:hAnsi="Malgun Gothic" w:eastAsia="Malgun Gothic"/>
                <w:b/>
                <w:i w:val="0"/>
                <w:color w:val="0D1B2A"/>
                <w:sz w:val="24"/>
              </w:rPr>
              <w:t>철근콘크리트구조물에서사용성(serviceability)을확보하여야만하는사유와사용하중에 의한휨응력이콘크리트와철근의허용응력을초과하는경우에발생하는현상을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철근콘크리트구조물에서사용성(serviceability)을확보하여야만하는사유와사용하중에 의한휨응력이콘크리트와철근의허용응력을초과하는경우에발생하는현상을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제122회 토목구조기술사  |  1교시 9번  |  철근콘크리트구조물에서사용성(serviceability)을확보하여야만하는사유와사용하중에 의한휨응력이콘크리트와철근의허용응력을초과하는경우에발생하는현상을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