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교량설계시부반력이발생하는원인과부반력이발생하는원인별대책에대하여설명 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교량설계시부반력이발생하는원인과부반력이발생하는원인별대책에대하여설명 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제122회 토목구조기술사  |  2교시 1번  |  교량설계시부반력이발생하는원인과부반력이발생하는원인별대책에대하여설명 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