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강구조부재설계기준 (KDS143110)에제시된압축력과휨을동시에받는강구조물의 설계에대하여설명하시오.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강구조부재설계기준 (KDS143110)에제시된압축력과휨을동시에받는강구조물의 설계에대하여설명하시오.에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제122회 토목구조기술사  |  2교시 2번  |  강구조부재설계기준 (KDS143110)에제시된압축력과휨을동시에받는강구조물의 설계에대하여설명하시오.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