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단면이500×1,200mm인직사각형합성기둥(SRC)에8개의D25철근(4,053.6mm2)과 H500×250×10×20 인H형강이그림과같이배치되어있다.이직사각형합성기둥 (SRC)에대한균형파괴시의Nb,Mb를구하시오. (단,Nb,Mb계산시H형강의복부두께는무시하되,직사각...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단면이500×1,200mm인직사각형합성기둥(SRC)에8개의D25철근(4,053.6mm2)과 H500×250×10×20 인H형강이그림과같이배치되어있다.이직사각형합성기둥 (SRC)에대한균형파괴시의Nb,Mb를구하시오. (단,Nb,Mb계산시H형강의복부두께는무시하되,직사각...에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2교시 5번  |  단면이500×1,200mm인직사각형합성기둥(SRC)에8개의D25철근(4,053.6mm2)과 H500×250×10×20 인H형강이그림과같이배치되어있다.이직사각형합성기둥 (SRC)에대한균형파괴시의Nb,Mb를구하시오. (단,Nb,Mb계산시H형강의복부두께는무시하되,직사각...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