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아래그림과같은단계별로긴장력을도입하는FCM구조물을계획하고자한다. seg.1에는최초에8m의텐던2개를긴장하고,seg.2를가설한후16m의텐던2개를 긴장한다.각텐던의모든위치는도심으로부터400mm로동일하며직선으로배치 할때,지점A에서초기손실발생직후텐던의긴장응력을구하시오. (단...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아래그림과같은단계별로긴장력을도입하는FCM구조물을계획하고자한다. seg.1에는최초에8m의텐던2개를긴장하고,seg.2를가설한후16m의텐던2개를 긴장한다.각텐던의모든위치는도심으로부터400mm로동일하며직선으로배치 할때,지점A에서초기손실발생직후텐던의긴장응력을구하시오. (단...에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2교시 6번  |  아래그림과같은단계별로긴장력을도입하는FCM구조물을계획하고자한다. seg.1에는최초에8m의텐던2개를긴장하고,seg.2를가설한후16m의텐던2개를 긴장한다.각텐던의모든위치는도심으로부터400mm로동일하며직선으로배치 할때,지점A에서초기손실발생직후텐던의긴장응력을구하시오. (단...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