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아래그림과같이봉의축방향과단순보지간중앙에연직방향낙하물(질량M,낙하 높이h)이각각자유낙하될때,봉의최대처짐(δmax_1)과단순보지간중앙에서의최대 처짐(δmax_2)을각각유도하고,동일한중량(W)이정적으로재하되었을때의봉의처짐 (δst_1)및단순보의처짐(δst_2)과각각비교...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아래그림과같이봉의축방향과단순보지간중앙에연직방향낙하물(질량M,낙하 높이h)이각각자유낙하될때,봉의최대처짐(δmax_1)과단순보지간중앙에서의최대 처짐(δmax_2)을각각유도하고,동일한중량(W)이정적으로재하되었을때의봉의처짐 (δst_1)및단순보의처짐(δst_2)과각각비교...에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1번  |  아래그림과같이봉의축방향과단순보지간중앙에연직방향낙하물(질량M,낙하 높이h)이각각자유낙하될때,봉의최대처짐(δmax_1)과단순보지간중앙에서의최대 처짐(δmax_2)을각각유도하고,동일한중량(W)이정적으로재하되었을때의봉의처짐 (δst_1)및단순보의처짐(δst_2)과각각비교...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